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b/>
          <w:sz w:val="28"/>
        </w:rPr>
        <w:t>DIŞ CEPHE MANTOLAMA VE BOYA UYGULAMASI TAŞERON SÖZLEŞMESİ</w:t>
      </w:r>
    </w:p>
    <w:p>
      <w:pPr>
        <w:pStyle w:val="Normal"/>
        <w:spacing w:before="240" w:after="200"/>
        <w:rPr/>
      </w:pPr>
      <w:r>
        <w:rPr>
          <w:b/>
          <w:sz w:val="24"/>
        </w:rPr>
        <w:t>MADDE 1: TARAFLAR</w:t>
      </w:r>
    </w:p>
    <w:p>
      <w:pPr>
        <w:pStyle w:val="Normal"/>
        <w:spacing w:before="0" w:after="120"/>
        <w:rPr/>
      </w:pPr>
      <w:r>
        <w:rPr/>
        <w:t>1.1. İŞVEREN:</w:t>
      </w:r>
    </w:p>
    <w:p>
      <w:pPr>
        <w:pStyle w:val="Normal"/>
        <w:spacing w:before="0" w:after="120"/>
        <w:rPr/>
      </w:pPr>
      <w:r>
        <w:rPr/>
        <w:t xml:space="preserve">• </w:t>
      </w:r>
      <w:r>
        <w:rPr/>
        <w:t xml:space="preserve">Adı/Unvanı: </w:t>
      </w:r>
    </w:p>
    <w:p>
      <w:pPr>
        <w:pStyle w:val="Normal"/>
        <w:spacing w:before="0" w:after="120"/>
        <w:rPr/>
      </w:pPr>
      <w:r>
        <w:rPr/>
        <w:t xml:space="preserve">• </w:t>
      </w:r>
      <w:r>
        <w:rPr/>
        <w:t xml:space="preserve">Adresi: </w:t>
      </w:r>
    </w:p>
    <w:p>
      <w:pPr>
        <w:pStyle w:val="Normal"/>
        <w:spacing w:before="0" w:after="120"/>
        <w:rPr/>
      </w:pPr>
      <w:r>
        <w:rPr/>
        <w:t xml:space="preserve">• </w:t>
      </w:r>
      <w:r>
        <w:rPr/>
        <w:t xml:space="preserve">Vergi Dairesi / No / TC No: </w:t>
      </w:r>
    </w:p>
    <w:p>
      <w:pPr>
        <w:pStyle w:val="Normal"/>
        <w:spacing w:before="0" w:after="120"/>
        <w:rPr/>
      </w:pPr>
      <w:r>
        <w:rPr/>
        <w:t xml:space="preserve">• </w:t>
      </w:r>
      <w:r>
        <w:rPr/>
        <w:t xml:space="preserve">İletişim/Tel: </w:t>
      </w:r>
    </w:p>
    <w:p>
      <w:pPr>
        <w:pStyle w:val="Normal"/>
        <w:spacing w:before="0" w:after="120"/>
        <w:rPr/>
      </w:pPr>
      <w:r>
        <w:rPr/>
        <w:t>1.2. TAŞERON:</w:t>
      </w:r>
    </w:p>
    <w:p>
      <w:pPr>
        <w:pStyle w:val="Normal"/>
        <w:spacing w:before="0" w:after="120"/>
        <w:rPr/>
      </w:pPr>
      <w:r>
        <w:rPr/>
        <w:t xml:space="preserve">• </w:t>
      </w:r>
      <w:r>
        <w:rPr/>
        <w:t xml:space="preserve">Adı/Unvanı: </w:t>
      </w:r>
    </w:p>
    <w:p>
      <w:pPr>
        <w:pStyle w:val="Normal"/>
        <w:spacing w:before="0" w:after="120"/>
        <w:rPr/>
      </w:pPr>
      <w:r>
        <w:rPr/>
        <w:t xml:space="preserve">• </w:t>
      </w:r>
      <w:r>
        <w:rPr/>
        <w:t xml:space="preserve">Adresi: </w:t>
      </w:r>
    </w:p>
    <w:p>
      <w:pPr>
        <w:pStyle w:val="Normal"/>
        <w:spacing w:before="0" w:after="120"/>
        <w:rPr/>
      </w:pPr>
      <w:r>
        <w:rPr/>
        <w:t xml:space="preserve">• </w:t>
      </w:r>
      <w:r>
        <w:rPr/>
        <w:t xml:space="preserve">Vergi Dairesi / No: </w:t>
      </w:r>
    </w:p>
    <w:p>
      <w:pPr>
        <w:pStyle w:val="Normal"/>
        <w:spacing w:before="0" w:after="120"/>
        <w:rPr/>
      </w:pPr>
      <w:r>
        <w:rPr/>
        <w:t xml:space="preserve">• </w:t>
      </w:r>
      <w:r>
        <w:rPr/>
        <w:t xml:space="preserve">İletişim/Tel: </w:t>
      </w:r>
    </w:p>
    <w:p>
      <w:pPr>
        <w:pStyle w:val="Normal"/>
        <w:spacing w:before="240" w:after="200"/>
        <w:rPr/>
      </w:pPr>
      <w:r>
        <w:rPr>
          <w:b/>
          <w:sz w:val="24"/>
        </w:rPr>
        <w:t>MADDE 2: İŞİN KONUSU VE KAPSAMI</w:t>
      </w:r>
    </w:p>
    <w:p>
      <w:pPr>
        <w:pStyle w:val="Normal"/>
        <w:spacing w:before="0" w:after="120"/>
        <w:rPr/>
      </w:pPr>
      <w:r>
        <w:rPr/>
        <w:t>Sözleşmenin konusu; İşveren’e ait [Açık Adres Yazılacak] adresinde bulunan binanın/yapının, dış cephesinin teknik şartnameye uygun olarak toplam 1000 m² alanda 3 cm kalınlığında EPS (Genişletilmiş Polistiren) levhalar ile ısı yalıtımı (mantolama) yapılması, sıvanması, dekoratif kaplamasının uygulanması ve boyanması işidir.</w:t>
      </w:r>
    </w:p>
    <w:p>
      <w:pPr>
        <w:pStyle w:val="Normal"/>
        <w:spacing w:before="240" w:after="200"/>
        <w:rPr/>
      </w:pPr>
      <w:r>
        <w:rPr>
          <w:b/>
          <w:sz w:val="24"/>
        </w:rPr>
        <w:t>MADDE 3: TEKNİK ŞARTLAR VE MALZEME DETAYLARI</w:t>
      </w:r>
    </w:p>
    <w:p>
      <w:pPr>
        <w:pStyle w:val="Normal"/>
        <w:spacing w:before="0" w:after="120"/>
        <w:rPr/>
      </w:pPr>
      <w:r>
        <w:rPr/>
        <w:t>Uygulamada kullanılacak tüm malzemeler TSE standartlarına uygun, 1. kalite olacaktır.</w:t>
      </w:r>
    </w:p>
    <w:p>
      <w:pPr>
        <w:pStyle w:val="Normal"/>
        <w:spacing w:before="0" w:after="120"/>
        <w:rPr/>
      </w:pPr>
      <w:r>
        <w:rPr/>
        <w:t xml:space="preserve">• </w:t>
      </w:r>
      <w:r>
        <w:rPr/>
        <w:t>Isı Yalıtım Levhası: 3 cm kalınlığında, karbonlu/grafitli veya beyaz EPS yalıtım levhası kullanılacaktır.</w:t>
      </w:r>
    </w:p>
    <w:p>
      <w:pPr>
        <w:pStyle w:val="Normal"/>
        <w:spacing w:before="0" w:after="120"/>
        <w:rPr/>
      </w:pPr>
      <w:r>
        <w:rPr/>
        <w:t xml:space="preserve">• </w:t>
      </w:r>
      <w:r>
        <w:rPr/>
        <w:t>Dübel ve File: m² başına en az 6 adet geniş başlı mantolama dübeli kullanılacaktır. Donatı filesi minimum 160 gr/m² ağırlığında olacaktır.</w:t>
      </w:r>
    </w:p>
    <w:p>
      <w:pPr>
        <w:pStyle w:val="Normal"/>
        <w:spacing w:before="0" w:after="120"/>
        <w:rPr/>
      </w:pPr>
      <w:r>
        <w:rPr/>
        <w:t xml:space="preserve">• </w:t>
      </w:r>
      <w:r>
        <w:rPr/>
        <w:t>Dış Cephe Boyası: İşveren tarafından seçilecek renk ve kartelaya uygun, [Marka Belirtiniz, Örn: Filli Boya/Jotun/Marshall] marka silikonlu, su itici özelliği olan, solmaz dış cephe boyası kullanılacaktır.</w:t>
      </w:r>
    </w:p>
    <w:p>
      <w:pPr>
        <w:pStyle w:val="Normal"/>
        <w:spacing w:before="0" w:after="120"/>
        <w:rPr/>
      </w:pPr>
      <w:r>
        <w:rPr/>
        <w:t xml:space="preserve">• </w:t>
      </w:r>
      <w:r>
        <w:rPr/>
        <w:t>İskele Kurulumu: İşin yapımı için gerekli olan çelik dış cephe iskelesinin nakliyesi, kurulması, sökülmesi ve güvenlik önlemleri tamamen Taşeron’un sorumluluğunda ve fiyatın içindedir.</w:t>
      </w:r>
    </w:p>
    <w:p>
      <w:pPr>
        <w:pStyle w:val="Normal"/>
        <w:spacing w:before="240" w:after="200"/>
        <w:rPr/>
      </w:pPr>
      <w:r>
        <w:rPr>
          <w:b/>
          <w:sz w:val="24"/>
        </w:rPr>
        <w:t>MADDE 4: SÖZLEŞME BEDELİ VE ÖDEME ŞARTLARI</w:t>
      </w:r>
    </w:p>
    <w:p>
      <w:pPr>
        <w:pStyle w:val="Normal"/>
        <w:spacing w:before="0" w:after="120"/>
        <w:rPr/>
      </w:pPr>
      <w:r>
        <w:rPr/>
        <w:t xml:space="preserve">• </w:t>
      </w:r>
      <w:r>
        <w:rPr/>
        <w:t>Metraj: Toplam dış cephe alanı net 1000 m² olarak kabul edilmiştir (Boşluk dökümü/metraj düşümü taraflarca yapılmıştır).</w:t>
      </w:r>
    </w:p>
    <w:p>
      <w:pPr>
        <w:pStyle w:val="Normal"/>
        <w:spacing w:before="0" w:after="120"/>
        <w:rPr/>
      </w:pPr>
      <w:r>
        <w:rPr/>
        <w:t xml:space="preserve">• </w:t>
      </w:r>
      <w:r>
        <w:rPr/>
        <w:t xml:space="preserve">Birim Fiyat: </w:t>
      </w:r>
    </w:p>
    <w:p>
      <w:pPr>
        <w:pStyle w:val="Normal"/>
        <w:spacing w:before="0" w:after="120"/>
        <w:rPr/>
      </w:pPr>
      <w:r>
        <w:rPr/>
        <w:t xml:space="preserve">• </w:t>
      </w:r>
      <w:r>
        <w:rPr/>
        <w:t xml:space="preserve">Toplam Sözleşme Bedeli: </w:t>
      </w:r>
    </w:p>
    <w:p>
      <w:pPr>
        <w:pStyle w:val="Normal"/>
        <w:spacing w:before="0" w:after="120"/>
        <w:rPr/>
      </w:pPr>
      <w:r>
        <w:rPr/>
        <w:t xml:space="preserve">• </w:t>
      </w:r>
      <w:r>
        <w:rPr/>
        <w:t>KDV Dahil Genel Toplam Tutar: …………………….TL Yazıyla Tutar…...………………………...…</w:t>
      </w:r>
    </w:p>
    <w:p>
      <w:pPr>
        <w:pStyle w:val="Normal"/>
        <w:spacing w:before="0" w:after="120"/>
        <w:rPr/>
      </w:pPr>
      <w:r>
        <w:rPr/>
        <w:t xml:space="preserve">• </w:t>
      </w:r>
      <w:r>
        <w:rPr/>
        <w:t>Ödeme Planı:</w:t>
      </w:r>
    </w:p>
    <w:p>
      <w:pPr>
        <w:pStyle w:val="Normal"/>
        <w:spacing w:before="0" w:after="120"/>
        <w:rPr/>
      </w:pPr>
      <w:r>
        <w:rPr/>
        <w:t xml:space="preserve">  </w:t>
      </w:r>
      <w:r>
        <w:rPr/>
        <w:t>- %.... (Avans): Sözleşme imzalanıp, iskele şantiyeye indiğinde nakit/havale olarak ..........…...TL ödenir.</w:t>
      </w:r>
    </w:p>
    <w:p>
      <w:pPr>
        <w:pStyle w:val="Normal"/>
        <w:spacing w:before="0" w:after="120"/>
        <w:rPr/>
      </w:pPr>
      <w:r>
        <w:rPr/>
        <w:t>Ara Hak Ediş: Mantolama dübel ve fileli sıva aşaması bittiğinde ..........…………….TL ödenir.</w:t>
      </w:r>
    </w:p>
    <w:p>
      <w:pPr>
        <w:pStyle w:val="Normal"/>
        <w:spacing w:before="0" w:after="120"/>
        <w:rPr/>
      </w:pPr>
      <w:r>
        <w:rPr/>
        <w:t>İ</w:t>
      </w:r>
      <w:r>
        <w:rPr/>
        <w:t>ş Bitimi: İskele sökülüp, çevre temizliği yapılıp iş eksiksiz teslim edildiğinde kalan .........………..TL ödenir.</w:t>
      </w:r>
    </w:p>
    <w:p>
      <w:pPr>
        <w:pStyle w:val="Normal"/>
        <w:spacing w:before="240" w:after="200"/>
        <w:rPr/>
      </w:pPr>
      <w:r>
        <w:rPr>
          <w:b/>
          <w:sz w:val="24"/>
        </w:rPr>
        <w:t>MADDE 5: İŞ SÜRESİ VE GECİKME CEZASI</w:t>
      </w:r>
    </w:p>
    <w:p>
      <w:pPr>
        <w:pStyle w:val="Normal"/>
        <w:spacing w:before="0" w:after="120"/>
        <w:rPr/>
      </w:pPr>
      <w:r>
        <w:rPr/>
        <w:t xml:space="preserve">• </w:t>
      </w:r>
      <w:r>
        <w:rPr/>
        <w:t xml:space="preserve">İşe Başlama Tarihi: </w:t>
      </w:r>
    </w:p>
    <w:p>
      <w:pPr>
        <w:pStyle w:val="Normal"/>
        <w:spacing w:before="0" w:after="120"/>
        <w:rPr/>
      </w:pPr>
      <w:r>
        <w:rPr/>
        <w:t xml:space="preserve">• </w:t>
      </w:r>
      <w:r>
        <w:rPr/>
        <w:t xml:space="preserve">İş Bitiş Tarihi: </w:t>
      </w:r>
    </w:p>
    <w:p>
      <w:pPr>
        <w:pStyle w:val="Normal"/>
        <w:spacing w:before="0" w:after="120"/>
        <w:rPr/>
      </w:pPr>
      <w:r>
        <w:rPr/>
        <w:t xml:space="preserve">• </w:t>
      </w:r>
      <w:r>
        <w:rPr/>
        <w:t>Gecikme Cezası: Taşeron, mücbir sebepler (aşırı yağış, don, resmi tatil veya İşveren kaynaklı gecikmeler) haricinde işi süresinde bitiremezse, geciken her takvim günü için İşveren'e …………………………... TL gecikme cezası ödemeyi kabul ve taahhüt eder.</w:t>
      </w:r>
    </w:p>
    <w:p>
      <w:pPr>
        <w:pStyle w:val="Normal"/>
        <w:spacing w:before="240" w:after="200"/>
        <w:rPr/>
      </w:pPr>
      <w:r>
        <w:rPr>
          <w:b/>
          <w:sz w:val="24"/>
        </w:rPr>
        <w:t>MADDE 6: İŞ SAĞLIĞI, GÜVENLİĞİ VE SİGORTA GİDERLERİ</w:t>
      </w:r>
    </w:p>
    <w:p>
      <w:pPr>
        <w:pStyle w:val="Normal"/>
        <w:spacing w:before="0" w:after="120"/>
        <w:rPr/>
      </w:pPr>
      <w:r>
        <w:rPr/>
        <w:t xml:space="preserve">• </w:t>
      </w:r>
      <w:r>
        <w:rPr/>
        <w:t>Sigorta ve Primler: Şantiyede çalışacak tüm personelin 4857 sayılı İş Kanunu ve SGK mevzuatına göre girişlerinin yapılması, primlerinin ödenmesi tamamen Taşeron’un yükümlülüğündedir. Tüm sigorta giderleri sözleşme bedeline dahildir. Taşeron, her ay ödenen SGK prim makbuzlarını İşveren’e ibraz etmekle yükümlüdür.</w:t>
      </w:r>
    </w:p>
    <w:p>
      <w:pPr>
        <w:pStyle w:val="Normal"/>
        <w:spacing w:before="0" w:after="120"/>
        <w:rPr/>
      </w:pPr>
      <w:r>
        <w:rPr/>
        <w:t xml:space="preserve">• </w:t>
      </w:r>
      <w:r>
        <w:rPr/>
        <w:t>İSG Sorumluluğu: Taşeron, emniyet kemeri, baret, iskele güvenlik filesi ve yaşam hatları dahil tüm İş Sağlığı ve Güvenliği (İSG) önlemlerini almak zorundadır. Çalışma esnasında meydana gelebilecek her türlü iş kazasından, yaralanmadan, maddi/manevi zararlardan ve hukuki süreçlerden doğrudan ve tek başına Taşeron sorumludur. İşveren’in bu konuda hiçbir müteselsil sorumluluğu yoktur.</w:t>
      </w:r>
    </w:p>
    <w:p>
      <w:pPr>
        <w:pStyle w:val="Normal"/>
        <w:spacing w:before="240" w:after="200"/>
        <w:rPr/>
      </w:pPr>
      <w:r>
        <w:rPr>
          <w:b/>
          <w:sz w:val="24"/>
        </w:rPr>
        <w:t>MADDE 7: GARANTİ SÜRESİ</w:t>
      </w:r>
    </w:p>
    <w:p>
      <w:pPr>
        <w:pStyle w:val="Normal"/>
        <w:spacing w:before="0" w:after="120"/>
        <w:rPr/>
      </w:pPr>
      <w:r>
        <w:rPr/>
        <w:t>Taşeron, işin teslim tarihinden itibaren işçilik hatalarına, dökülme, çatlama veya kabarma gibi problemlere karşı uygulamayı ve malzemeyi [Örn: 2 ila 5] yıl süreyle garanti eder. Garanti süresi içinde oluşacak kusurlar Taşeron tarafından ücretsiz olarak onarılacaktır.</w:t>
      </w:r>
    </w:p>
    <w:p>
      <w:pPr>
        <w:pStyle w:val="Normal"/>
        <w:spacing w:before="240" w:after="200"/>
        <w:rPr/>
      </w:pPr>
      <w:r>
        <w:rPr>
          <w:b/>
          <w:sz w:val="24"/>
        </w:rPr>
        <w:t>MADDE 8: ANLAŞMAZLIKLARIN ÇÖZÜMÜ</w:t>
      </w:r>
    </w:p>
    <w:p>
      <w:pPr>
        <w:pStyle w:val="Normal"/>
        <w:spacing w:before="0" w:after="120"/>
        <w:rPr/>
      </w:pPr>
      <w:r>
        <w:rPr/>
        <w:t>Bu sözleşmenin uygulanmasından doğabilecek her türlü uyuşmazlıkta  İstanbul Mahkemeleri ve İcra Daireleri yetkilidir.</w:t>
      </w:r>
    </w:p>
    <w:p>
      <w:pPr>
        <w:pStyle w:val="Normal"/>
        <w:spacing w:before="0" w:after="120"/>
        <w:rPr/>
      </w:pPr>
      <w:r>
        <w:rPr/>
        <w:t>Sek</w:t>
      </w:r>
      <w:r>
        <w:rPr/>
        <w:t xml:space="preserve">iz </w:t>
      </w:r>
      <w:r>
        <w:rPr/>
        <w:t>maddeden oluşan bu sözleşme, taraflarca okunarak ……/………/…….…...tarihinde 2 (iki) nüsha olarak imza altına alınmıştır.</w:t>
      </w:r>
    </w:p>
    <w:p>
      <w:pPr>
        <w:pStyle w:val="Normal"/>
        <w:rPr/>
      </w:pPr>
      <w:r>
        <w:rPr/>
      </w:r>
    </w:p>
    <w:p>
      <w:pPr>
        <w:pStyle w:val="Normal"/>
        <w:widowControl/>
        <w:bidi w:val="0"/>
        <w:spacing w:lineRule="auto" w:line="276" w:before="0" w:after="200"/>
        <w:jc w:val="start"/>
        <w:rPr/>
      </w:pPr>
      <w:r>
        <w:rPr/>
        <w:t>İŞVEREN (İmza/Kaşe)                                                                    TAŞERON (İmza/Kaşe)</w:t>
      </w:r>
    </w:p>
    <w:sectPr>
      <w:type w:val="nextPage"/>
      <w:pgSz w:w="12240" w:h="15840"/>
      <w:pgMar w:left="1800" w:right="180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Calibri">
    <w:charset w:val="01"/>
    <w:family w:val="roman"/>
    <w:pitch w:val="variable"/>
  </w:font>
  <w:font w:name="Courier">
    <w:altName w:val="Courier New"/>
    <w:charset w:val="01"/>
    <w:family w:val="roman"/>
    <w:pitch w:val="variable"/>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9"/>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76" w:before="0" w:after="20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uiPriority w:val="99"/>
    <w:rsid w:val="00e618bf"/>
    <w:rPr/>
  </w:style>
  <w:style w:type="character" w:styleId="FooterChar" w:customStyle="1">
    <w:name w:val="Footer Char"/>
    <w:basedOn w:val="DefaultParagraphFont"/>
    <w:uiPriority w:val="99"/>
    <w:rsid w:val="00e618bf"/>
    <w:rPr/>
  </w:style>
  <w:style w:type="character" w:styleId="DefaultParagraphFont" w:default="1">
    <w:name w:val="Default Paragraph Font"/>
    <w:uiPriority w:val="1"/>
    <w:semiHidden/>
    <w:unhideWhenUsed/>
    <w:rPr/>
  </w:style>
  <w:style w:type="character" w:styleId="Heading1Char" w:customStyle="1">
    <w:name w:val="Heading 1 Char"/>
    <w:basedOn w:val="DefaultParagraphFont"/>
    <w:uiPriority w:val="9"/>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uiPriority w:val="9"/>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uiPriority w:val="9"/>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uiPriority w:val="10"/>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uiPriority w:val="11"/>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rsid w:val="00aa1d8d"/>
    <w:rPr/>
  </w:style>
  <w:style w:type="character" w:styleId="BodyText2Char" w:customStyle="1">
    <w:name w:val="Body Text 2 Char"/>
    <w:basedOn w:val="DefaultParagraphFont"/>
    <w:link w:val="BodyText2"/>
    <w:uiPriority w:val="99"/>
    <w:rsid w:val="00aa1d8d"/>
    <w:rPr/>
  </w:style>
  <w:style w:type="character" w:styleId="BodyText3Char" w:customStyle="1">
    <w:name w:val="Body Text 3 Char"/>
    <w:basedOn w:val="DefaultParagraphFont"/>
    <w:link w:val="BodyText3"/>
    <w:uiPriority w:val="99"/>
    <w:rsid w:val="00aa1d8d"/>
    <w:rPr>
      <w:sz w:val="16"/>
      <w:szCs w:val="16"/>
    </w:rPr>
  </w:style>
  <w:style w:type="character" w:styleId="MacroTextChar" w:customStyle="1">
    <w:name w:val="Macro Text Char"/>
    <w:basedOn w:val="DefaultParagraphFont"/>
    <w:link w:val="MacroText"/>
    <w:uiPriority w:val="99"/>
    <w:rsid w:val="0029639d"/>
    <w:rPr>
      <w:rFonts w:ascii="Courier" w:hAnsi="Courier"/>
      <w:sz w:val="20"/>
      <w:szCs w:val="20"/>
    </w:rPr>
  </w:style>
  <w:style w:type="character" w:styleId="QuoteChar" w:customStyle="1">
    <w:name w:val="Quote Char"/>
    <w:basedOn w:val="DefaultParagraphFont"/>
    <w:link w:val="Quote"/>
    <w:uiPriority w:val="29"/>
    <w:rsid w:val="00fc693f"/>
    <w:rPr>
      <w:i/>
      <w:iCs/>
      <w:color w:themeColor="text1" w:val="000000"/>
    </w:rPr>
  </w:style>
  <w:style w:type="character" w:styleId="Heading4Char" w:customStyle="1">
    <w:name w:val="Heading 4 Char"/>
    <w:basedOn w:val="DefaultParagraphFont"/>
    <w:uiPriority w:val="9"/>
    <w:semiHidden/>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uiPriority w:val="9"/>
    <w:semiHidden/>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uiPriority w:val="9"/>
    <w:semiHidden/>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uiPriority w:val="9"/>
    <w:semiHidden/>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uiPriority w:val="9"/>
    <w:semiHidden/>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uiPriority w:val="9"/>
    <w:semiHidden/>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Balk">
    <w:name w:val="Başlık"/>
    <w:basedOn w:val="Normal"/>
    <w:next w:val="BodyText"/>
    <w:pPr>
      <w:keepNext w:val="true"/>
      <w:spacing w:before="240" w:after="120"/>
    </w:pPr>
    <w:rPr>
      <w:rFonts w:ascii="Liberation Sans" w:hAnsi="Liberation Sans" w:eastAsia="Noto Sans" w:cs="Noto Sans"/>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Dizin">
    <w:name w:val="Dizin"/>
    <w:basedOn w:val="Normal"/>
    <w:pPr>
      <w:suppressLineNumbers/>
    </w:pPr>
    <w:rPr/>
  </w:style>
  <w:style w:type="paragraph" w:styleId="stBilgiveAltBilgi">
    <w:name w:val="Üst Bilgi ve Alt Bilgi"/>
    <w:basedOn w:val="Normal"/>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start="720"/>
      <w:contextualSpacing/>
    </w:pPr>
    <w:rPr/>
  </w:style>
  <w:style w:type="paragraph" w:styleId="BodyText2">
    <w:name w:val="Body Text 2"/>
    <w:basedOn w:val="Normal"/>
    <w:link w:val="BodyText2Char"/>
    <w:uiPriority w:val="99"/>
    <w:unhideWhenUsed/>
    <w:rsid w:val="00aa1d8d"/>
    <w:pPr>
      <w:spacing w:lineRule="auto" w:line="480" w:before="0" w:after="120"/>
    </w:pPr>
    <w:rPr/>
  </w:style>
  <w:style w:type="paragraph" w:styleId="BodyText3">
    <w:name w:val="Body Text 3"/>
    <w:basedOn w:val="Normal"/>
    <w:link w:val="BodyText3Char"/>
    <w:uiPriority w:val="99"/>
    <w:unhideWhenUsed/>
    <w:rsid w:val="00aa1d8d"/>
    <w:pPr>
      <w:spacing w:before="0" w:after="120"/>
    </w:pPr>
    <w:rPr>
      <w:sz w:val="16"/>
      <w:szCs w:val="16"/>
    </w:rPr>
  </w:style>
  <w:style w:type="paragraph" w:styleId="List2">
    <w:name w:val="List 2"/>
    <w:basedOn w:val="Normal"/>
    <w:uiPriority w:val="99"/>
    <w:unhideWhenUsed/>
    <w:rsid w:val="00326f90"/>
    <w:pPr>
      <w:spacing w:before="0" w:after="200"/>
      <w:ind w:hanging="360" w:start="720"/>
      <w:contextualSpacing/>
    </w:pPr>
    <w:rPr/>
  </w:style>
  <w:style w:type="paragraph" w:styleId="List3">
    <w:name w:val="List 3"/>
    <w:basedOn w:val="Normal"/>
    <w:uiPriority w:val="99"/>
    <w:unhideWhenUsed/>
    <w:rsid w:val="00326f90"/>
    <w:pPr>
      <w:spacing w:before="0" w:after="200"/>
      <w:ind w:hanging="360" w:star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Balk"/>
    <w:pPr/>
    <w:rPr/>
  </w:style>
  <w:style w:type="paragraph" w:styleId="TOCHeading">
    <w:name w:val="TOC Heading"/>
    <w:basedOn w:val="Heading1"/>
    <w:next w:val="Normal"/>
    <w:uiPriority w:val="39"/>
    <w:semiHidden/>
    <w:unhideWhenUsed/>
    <w:qFormat/>
    <w:rsid w:val="00fc693f"/>
    <w:pPr>
      <w:outlineLvl w:val="9"/>
    </w:pPr>
    <w:rPr/>
  </w:style>
  <w:style w:type="numbering" w:styleId="ListeYok" w:default="1">
    <w:name w:val="Liste Yok"/>
    <w:uiPriority w:val="99"/>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itchFamily="0" charset="1"/>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LibreOffice/26.8.2.2$Linux_X86_64 LibreOffice_project/9dea406ab7695df6325b11b0e19fdca8db4b7276</Application>
  <AppVersion>15.0000</AppVersion>
  <Pages>3</Pages>
  <Words>496</Words>
  <Characters>3172</Characters>
  <CharactersWithSpaces>3704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tr-TR</dc:language>
  <cp:lastModifiedBy/>
  <dcterms:modified xsi:type="dcterms:W3CDTF">2026-11-06T11:49:48Z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